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22FBB473" w:rsidR="00202E2D" w:rsidRPr="009F1AF9" w:rsidRDefault="0043049F" w:rsidP="009F1AF9">
      <w:pPr>
        <w:rPr>
          <w:rFonts w:ascii="Arial" w:hAnsi="Arial" w:cs="Arial"/>
        </w:rPr>
      </w:pPr>
      <w:r>
        <w:rPr>
          <w:rFonts w:ascii="Arial" w:hAnsi="Arial" w:cs="Arial"/>
        </w:rPr>
        <w:t>REPOTN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60A6987" w:rsidR="009E68C5"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BF6DF9">
        <w:rPr>
          <w:rFonts w:ascii="Arial" w:hAnsi="Arial" w:cs="Arial"/>
        </w:rPr>
        <w:t>9</w:t>
      </w:r>
      <w:r w:rsidR="00BF6DF9" w:rsidRPr="00D9290F">
        <w:rPr>
          <w:rFonts w:ascii="Arial" w:hAnsi="Arial" w:cs="Arial"/>
          <w:vertAlign w:val="superscript"/>
        </w:rPr>
        <w:t>th</w:t>
      </w:r>
      <w:r w:rsidR="00BF6DF9">
        <w:rPr>
          <w:rFonts w:ascii="Arial" w:hAnsi="Arial" w:cs="Arial"/>
        </w:rPr>
        <w:t xml:space="preserve"> February 2026.</w:t>
      </w:r>
      <w:r w:rsidR="00D16063">
        <w:rPr>
          <w:rFonts w:ascii="Arial" w:hAnsi="Arial" w:cs="Arial"/>
        </w:rPr>
        <w:t xml:space="preserve"> Taken from the NALC model document</w:t>
      </w:r>
      <w:r w:rsidR="00CF3422">
        <w:rPr>
          <w:rFonts w:ascii="Arial" w:hAnsi="Arial" w:cs="Arial"/>
        </w:rPr>
        <w:t xml:space="preserve"> dated </w:t>
      </w:r>
      <w:r w:rsidR="000E2E54">
        <w:rPr>
          <w:rFonts w:ascii="Arial" w:hAnsi="Arial" w:cs="Arial"/>
        </w:rPr>
        <w:t>March 2025</w:t>
      </w:r>
    </w:p>
    <w:p w14:paraId="35C87607" w14:textId="71C701CF" w:rsidR="00306852" w:rsidRPr="009F1AF9" w:rsidRDefault="00306852" w:rsidP="009F1AF9">
      <w:pPr>
        <w:rPr>
          <w:rFonts w:ascii="Arial" w:hAnsi="Arial" w:cs="Arial"/>
        </w:rPr>
      </w:pPr>
      <w:r>
        <w:rPr>
          <w:rFonts w:ascii="Arial" w:hAnsi="Arial" w:cs="Arial"/>
        </w:rPr>
        <w:t>Next review should be by February 2027 or earlier.</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C3FDB67"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7A501899"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946DAA">
        <w:rPr>
          <w:rFonts w:ascii="Arial" w:hAnsi="Arial" w:cs="Arial"/>
        </w:rPr>
        <w:t>2</w:t>
      </w:r>
      <w:r w:rsidRPr="009F1AF9">
        <w:rPr>
          <w:rFonts w:ascii="Arial" w:hAnsi="Arial" w:cs="Arial"/>
        </w:rPr>
        <w:t xml:space="preserve">,000;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A961D3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3BEB1813"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C4483F1"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 .</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020A242C"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w:t>
      </w:r>
      <w:r w:rsidR="000E2E54" w:rsidRPr="009F1AF9">
        <w:rPr>
          <w:rFonts w:ascii="Arial" w:hAnsi="Arial" w:cs="Arial"/>
        </w:rPr>
        <w:t>Annual Governance</w:t>
      </w:r>
      <w:r w:rsidRPr="009F1AF9">
        <w:rPr>
          <w:rFonts w:ascii="Arial" w:hAnsi="Arial" w:cs="Arial"/>
        </w:rPr>
        <w:t xml:space="preserve"> and Accountability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982731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CC9921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3073223" w:rsidR="00955295" w:rsidRPr="00702005" w:rsidRDefault="000C121B" w:rsidP="009F1AF9">
      <w:pPr>
        <w:pStyle w:val="ListParagraph"/>
        <w:numPr>
          <w:ilvl w:val="1"/>
          <w:numId w:val="21"/>
        </w:numPr>
        <w:spacing w:after="120"/>
        <w:ind w:left="850" w:hanging="510"/>
        <w:contextualSpacing w:val="0"/>
        <w:rPr>
          <w:rFonts w:ascii="Arial" w:eastAsia="Calibri" w:hAnsi="Arial" w:cs="Arial"/>
        </w:rPr>
      </w:pPr>
      <w:r w:rsidRPr="00702005">
        <w:rPr>
          <w:rFonts w:ascii="Arial" w:eastAsia="Calibri" w:hAnsi="Arial" w:cs="Arial"/>
        </w:rPr>
        <w:t xml:space="preserve">Budgets for salaries and wages, including employer contributions </w:t>
      </w:r>
      <w:r w:rsidR="00955295" w:rsidRPr="00702005">
        <w:rPr>
          <w:rFonts w:ascii="Arial" w:eastAsia="Calibri" w:hAnsi="Arial" w:cs="Arial"/>
        </w:rPr>
        <w:t xml:space="preserve">shall be reviewed by the council at least annually in </w:t>
      </w:r>
      <w:r w:rsidR="00222673" w:rsidRPr="00702005">
        <w:rPr>
          <w:rFonts w:ascii="Arial" w:eastAsia="Calibri" w:hAnsi="Arial" w:cs="Arial"/>
        </w:rPr>
        <w:t>November</w:t>
      </w:r>
      <w:r w:rsidR="00955295" w:rsidRPr="00702005">
        <w:rPr>
          <w:rFonts w:ascii="Arial" w:eastAsia="Calibri" w:hAnsi="Arial" w:cs="Arial"/>
        </w:rPr>
        <w:t xml:space="preserve"> for the following financial year and the final version shall be evidenced by a hard copy schedule signed by the Clerk and the Chair of the </w:t>
      </w:r>
      <w:r w:rsidR="00702005" w:rsidRPr="00702005">
        <w:rPr>
          <w:rFonts w:ascii="Arial" w:eastAsia="Calibri" w:hAnsi="Arial" w:cs="Arial"/>
        </w:rPr>
        <w:t>HR</w:t>
      </w:r>
      <w:r w:rsidR="00955295" w:rsidRPr="00702005">
        <w:rPr>
          <w:rFonts w:ascii="Arial" w:eastAsia="Calibri" w:hAnsi="Arial" w:cs="Arial"/>
        </w:rPr>
        <w:t xml:space="preserve"> committee.  </w:t>
      </w:r>
    </w:p>
    <w:p w14:paraId="2D28879B" w14:textId="6ED1621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FA05F9">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06AAB53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360EDED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w:t>
      </w:r>
      <w:r w:rsidR="00A15299">
        <w:rPr>
          <w:rFonts w:ascii="Arial" w:eastAsia="Calibri" w:hAnsi="Arial" w:cs="Arial"/>
        </w:rPr>
        <w:t>/</w:t>
      </w:r>
      <w:r w:rsidR="00E31FAD">
        <w:rPr>
          <w:rFonts w:ascii="Arial" w:eastAsia="Calibri" w:hAnsi="Arial" w:cs="Arial"/>
        </w:rPr>
        <w:t>working group</w:t>
      </w:r>
      <w:r w:rsidRPr="009F1AF9">
        <w:rPr>
          <w:rFonts w:ascii="Arial" w:eastAsia="Calibri" w:hAnsi="Arial" w:cs="Arial"/>
        </w:rPr>
        <w:t xml:space="preserve"> shall review its draft budget and submit any proposed amendments to the council finance committee not later than the end of </w:t>
      </w:r>
      <w:r w:rsidR="00E31FAD">
        <w:rPr>
          <w:rFonts w:ascii="Arial" w:eastAsia="Calibri" w:hAnsi="Arial" w:cs="Arial"/>
        </w:rPr>
        <w:t>October</w:t>
      </w:r>
      <w:r w:rsidRPr="009F1AF9">
        <w:rPr>
          <w:rFonts w:ascii="Arial" w:eastAsia="Calibri" w:hAnsi="Arial" w:cs="Arial"/>
        </w:rPr>
        <w:t xml:space="preserve"> each year. </w:t>
      </w:r>
    </w:p>
    <w:p w14:paraId="1BCAB99E" w14:textId="05799CF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including any recommendations for the use or accumulation of reserves, shall be considered by the{finance committee and a recommendation made to the council.</w:t>
      </w:r>
    </w:p>
    <w:p w14:paraId="73030839" w14:textId="56BE5F5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forecast,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59F2FD0"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6951525"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7058DB45"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A41E6F">
        <w:rPr>
          <w:rFonts w:ascii="Arial" w:hAnsi="Arial" w:cs="Arial"/>
        </w:rPr>
        <w:t>5</w:t>
      </w:r>
      <w:r w:rsidR="00D22E75" w:rsidRPr="4C80E3E9">
        <w:rPr>
          <w:rFonts w:ascii="Arial" w:hAnsi="Arial" w:cs="Arial"/>
        </w:rPr>
        <w:t xml:space="preserve">,000 excluding VAT the Clerk  shall seek at least 3 fixed-price quotes; </w:t>
      </w:r>
    </w:p>
    <w:p w14:paraId="57298436" w14:textId="3B31DB1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w:t>
      </w:r>
      <w:r w:rsidR="00607CB4">
        <w:rPr>
          <w:rFonts w:ascii="Arial" w:hAnsi="Arial" w:cs="Arial"/>
        </w:rPr>
        <w:t>5</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CBEE583"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60D4A6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2B832F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5BB54D19"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1901C7E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7B740B48" w14:textId="6F9BB964"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D640D0">
        <w:rPr>
          <w:rFonts w:ascii="Arial" w:hAnsi="Arial" w:cs="Arial"/>
        </w:rPr>
        <w:t>2</w:t>
      </w:r>
      <w:r w:rsidRPr="009F1AF9">
        <w:rPr>
          <w:rFonts w:ascii="Arial" w:hAnsi="Arial" w:cs="Arial"/>
        </w:rPr>
        <w:t xml:space="preserve">,000;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380C2881"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0DF11DE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82E159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w:t>
      </w:r>
      <w:r w:rsidRPr="4C80E3E9">
        <w:rPr>
          <w:rFonts w:ascii="Arial" w:hAnsi="Arial" w:cs="Arial"/>
        </w:rPr>
        <w:lastRenderedPageBreak/>
        <w:t>action to the Chair as soon as possible and to the council as soon as practicable thereafter.</w:t>
      </w:r>
    </w:p>
    <w:p w14:paraId="1D353FEC" w14:textId="67D345C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4BA1361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1F3AA036"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4353AB"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w:t>
      </w:r>
      <w:r w:rsidR="00305812">
        <w:rPr>
          <w:rFonts w:ascii="Arial" w:hAnsi="Arial" w:cs="Arial"/>
        </w:rPr>
        <w:t xml:space="preserve"> NatWest and CCLA</w:t>
      </w:r>
      <w:r w:rsidR="0057306F">
        <w:rPr>
          <w:rFonts w:ascii="Arial" w:hAnsi="Arial" w:cs="Arial"/>
        </w:rPr>
        <w:t xml:space="preserve"> for the Public Sector Deposit Fund</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773D73A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2E5A83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 xml:space="preserve">or a delegated decision by </w:t>
      </w:r>
      <w:r w:rsidR="00F75779">
        <w:rPr>
          <w:rFonts w:ascii="Arial" w:hAnsi="Arial" w:cs="Arial"/>
        </w:rPr>
        <w:t>the Clerk and Chairman</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9726350" w14:textId="3710C7CB"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6D565C7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7ACA0F64"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EE30ED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665E26D3"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w:t>
      </w:r>
      <w:r w:rsidR="009C6F03">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02CD75AE"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 </w:t>
      </w:r>
    </w:p>
    <w:p w14:paraId="4E34DA00" w14:textId="1DFE3A6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 together with the relevant invoices, to </w:t>
      </w:r>
      <w:r w:rsidR="003961F7" w:rsidRPr="009F1AF9">
        <w:rPr>
          <w:rFonts w:ascii="Arial" w:hAnsi="Arial" w:cs="Arial"/>
        </w:rPr>
        <w:t xml:space="preserve">the </w:t>
      </w:r>
      <w:r w:rsidRPr="009F1AF9">
        <w:rPr>
          <w:rFonts w:ascii="Arial" w:hAnsi="Arial" w:cs="Arial"/>
        </w:rPr>
        <w:t>council .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be </w:t>
      </w:r>
      <w:r w:rsidR="00DA02C7">
        <w:rPr>
          <w:rFonts w:ascii="Arial" w:hAnsi="Arial" w:cs="Arial"/>
        </w:rPr>
        <w:t>signed and dated</w:t>
      </w:r>
      <w:r w:rsidRPr="009F1AF9">
        <w:rPr>
          <w:rFonts w:ascii="Arial" w:hAnsi="Arial" w:cs="Arial"/>
        </w:rPr>
        <w:t xml:space="preserve"> immediately below the last item by the </w:t>
      </w:r>
      <w:r w:rsidR="00DA02C7">
        <w:rPr>
          <w:rFonts w:ascii="Arial" w:hAnsi="Arial" w:cs="Arial"/>
        </w:rPr>
        <w:t>tw</w:t>
      </w:r>
      <w:r w:rsidR="009372F0">
        <w:rPr>
          <w:rFonts w:ascii="Arial" w:hAnsi="Arial" w:cs="Arial"/>
        </w:rPr>
        <w:t>o Councillors who are authorised signatories on the relevant accounts</w:t>
      </w:r>
      <w:r w:rsidRPr="009F1AF9">
        <w:rPr>
          <w:rFonts w:ascii="Arial" w:hAnsi="Arial" w:cs="Arial"/>
        </w:rPr>
        <w:t>.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647E2B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9372F0">
        <w:rPr>
          <w:rFonts w:ascii="Arial" w:hAnsi="Arial" w:cs="Arial"/>
        </w:rPr>
        <w:t>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7EFC4CF7" w14:textId="5259C0F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w:t>
      </w:r>
    </w:p>
    <w:p w14:paraId="1272030F" w14:textId="3D3DECB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45044B4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The approval of the use of each variable direct debit shall be reviewed by the </w:t>
      </w:r>
      <w:r w:rsidR="00222673" w:rsidRPr="009F1AF9">
        <w:rPr>
          <w:rFonts w:ascii="Arial" w:hAnsi="Arial" w:cs="Arial"/>
        </w:rPr>
        <w:t>council</w:t>
      </w:r>
      <w:r w:rsidRPr="009F1AF9">
        <w:rPr>
          <w:rFonts w:ascii="Arial" w:hAnsi="Arial" w:cs="Arial"/>
        </w:rPr>
        <w:t xml:space="preserve"> at least every two years. </w:t>
      </w:r>
    </w:p>
    <w:p w14:paraId="10140EEE" w14:textId="3824652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council]at the next meeting. The approval of the use of BACS or CHAPS shall be renewed by resolution of the council at least every two years. </w:t>
      </w:r>
    </w:p>
    <w:p w14:paraId="6C8D89E3" w14:textId="196FBB7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0DE62A7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13FC2E22"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35761C5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1EC3F47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 unless authorised by council or finance committee in writing before any order is placed.</w:t>
      </w:r>
    </w:p>
    <w:p w14:paraId="576E4F10" w14:textId="0B4149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25A679D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7D34C641" w:rsidR="009E68C5" w:rsidRPr="009F1AF9" w:rsidRDefault="009E68C5" w:rsidP="00D9290F">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lastRenderedPageBreak/>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77E1C34F" w:rsidR="004B516E" w:rsidRPr="009F1AF9" w:rsidRDefault="00222673"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3E65C0E9"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w:t>
      </w:r>
      <w:r w:rsidR="00222673" w:rsidRPr="009F1AF9">
        <w:rPr>
          <w:rFonts w:ascii="Arial" w:eastAsia="Calibri" w:hAnsi="Arial" w:cs="Arial"/>
        </w:rPr>
        <w:t>councillor</w:t>
      </w:r>
      <w:r w:rsidR="004B516E" w:rsidRPr="009F1AF9">
        <w:rPr>
          <w:rFonts w:ascii="Arial" w:eastAsia="Calibri" w:hAnsi="Arial" w:cs="Arial"/>
        </w:rPr>
        <w:t xml:space="preserve">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2289042A"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7B293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7733A9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7E3B9D">
        <w:rPr>
          <w:rFonts w:ascii="Arial" w:hAnsi="Arial" w:cs="Arial"/>
        </w:rPr>
        <w:t>Clerk</w:t>
      </w:r>
      <w:r w:rsidR="00C31BB7" w:rsidRPr="009F1AF9">
        <w:rPr>
          <w:rFonts w:ascii="Arial" w:hAnsi="Arial" w:cs="Arial"/>
        </w:rPr>
        <w:t xml:space="preserve"> shall be responsible for the collection of all amounts due to the council.</w:t>
      </w:r>
    </w:p>
    <w:p w14:paraId="55CDABED" w14:textId="50202DD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4FAEE65"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322407" w:rsidRPr="009F1AF9" w:rsidDel="00322407">
        <w:rPr>
          <w:rFonts w:ascii="Arial" w:hAnsi="Arial" w:cs="Arial"/>
        </w:rPr>
        <w:t xml:space="preserve"> </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2C6B5D" w:rsidRPr="009F1AF9">
        <w:rPr>
          <w:rFonts w:ascii="Arial" w:hAnsi="Arial" w:cs="Arial"/>
        </w:rPr>
        <w:t xml:space="preserve">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p>
    <w:p w14:paraId="0745D33D" w14:textId="4766393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7A98471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ed by</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89AF0F6"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D1DCE0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32851C7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p>
    <w:p w14:paraId="0213EA01" w14:textId="63DBABB4"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0B7514A9" w:rsidR="007E6C3C" w:rsidRPr="009F1AF9" w:rsidRDefault="007E6C3C" w:rsidP="009F1AF9">
      <w:pPr>
        <w:pStyle w:val="Heading1"/>
        <w:rPr>
          <w:rFonts w:ascii="Arial" w:hAnsi="Arial" w:cs="Arial"/>
        </w:rPr>
      </w:pPr>
      <w:bookmarkStart w:id="505" w:name="_Toc165549969"/>
      <w:r w:rsidRPr="009F1AF9">
        <w:rPr>
          <w:rFonts w:ascii="Arial" w:hAnsi="Arial" w:cs="Arial"/>
        </w:rPr>
        <w:t>Charities</w:t>
      </w:r>
      <w:bookmarkEnd w:id="505"/>
    </w:p>
    <w:p w14:paraId="76E3288A" w14:textId="0F33123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w:t>
      </w:r>
      <w:r w:rsidRPr="009F1AF9">
        <w:rPr>
          <w:rFonts w:ascii="Arial" w:hAnsi="Arial" w:cs="Arial"/>
        </w:rPr>
        <w:lastRenderedPageBreak/>
        <w:t>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354D6373"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0A124D">
        <w:rPr>
          <w:rFonts w:ascii="Arial" w:hAnsi="Arial" w:cs="Arial"/>
        </w:rPr>
        <w:t>5.6</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9996" w14:textId="77777777" w:rsidR="001C6970" w:rsidRDefault="001C6970" w:rsidP="00225AAB">
      <w:r>
        <w:separator/>
      </w:r>
    </w:p>
  </w:endnote>
  <w:endnote w:type="continuationSeparator" w:id="0">
    <w:p w14:paraId="11F813B0" w14:textId="77777777" w:rsidR="001C6970" w:rsidRDefault="001C6970" w:rsidP="00225AAB">
      <w:r>
        <w:continuationSeparator/>
      </w:r>
    </w:p>
  </w:endnote>
  <w:endnote w:type="continuationNotice" w:id="1">
    <w:p w14:paraId="34F41A69" w14:textId="77777777" w:rsidR="001C6970" w:rsidRDefault="001C6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01E0" w14:textId="77777777" w:rsidR="001C6970" w:rsidRDefault="001C6970" w:rsidP="00225AAB">
      <w:r>
        <w:separator/>
      </w:r>
    </w:p>
  </w:footnote>
  <w:footnote w:type="continuationSeparator" w:id="0">
    <w:p w14:paraId="4E8A9048" w14:textId="77777777" w:rsidR="001C6970" w:rsidRDefault="001C6970" w:rsidP="00225AAB">
      <w:r>
        <w:continuationSeparator/>
      </w:r>
    </w:p>
  </w:footnote>
  <w:footnote w:type="continuationNotice" w:id="1">
    <w:p w14:paraId="5B4FF83B" w14:textId="77777777" w:rsidR="001C6970" w:rsidRDefault="001C6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05F4"/>
    <w:rsid w:val="0006362E"/>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124D"/>
    <w:rsid w:val="000B1964"/>
    <w:rsid w:val="000B2442"/>
    <w:rsid w:val="000B2CA0"/>
    <w:rsid w:val="000B4DA3"/>
    <w:rsid w:val="000B581F"/>
    <w:rsid w:val="000B63E3"/>
    <w:rsid w:val="000B664C"/>
    <w:rsid w:val="000C121B"/>
    <w:rsid w:val="000C2C92"/>
    <w:rsid w:val="000C332D"/>
    <w:rsid w:val="000D5700"/>
    <w:rsid w:val="000E2E54"/>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C6970"/>
    <w:rsid w:val="001D4D32"/>
    <w:rsid w:val="001D515B"/>
    <w:rsid w:val="001D554C"/>
    <w:rsid w:val="001D5718"/>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2673"/>
    <w:rsid w:val="00223A36"/>
    <w:rsid w:val="00225602"/>
    <w:rsid w:val="00225AAB"/>
    <w:rsid w:val="00226257"/>
    <w:rsid w:val="00232645"/>
    <w:rsid w:val="00233DEB"/>
    <w:rsid w:val="00241A1B"/>
    <w:rsid w:val="00242A6A"/>
    <w:rsid w:val="00243693"/>
    <w:rsid w:val="00244941"/>
    <w:rsid w:val="00247B6D"/>
    <w:rsid w:val="00247F0C"/>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45A8"/>
    <w:rsid w:val="002B6CD5"/>
    <w:rsid w:val="002B7885"/>
    <w:rsid w:val="002C1BFD"/>
    <w:rsid w:val="002C3431"/>
    <w:rsid w:val="002C527E"/>
    <w:rsid w:val="002C58CB"/>
    <w:rsid w:val="002C6233"/>
    <w:rsid w:val="002C65CE"/>
    <w:rsid w:val="002C6B5D"/>
    <w:rsid w:val="002D37F9"/>
    <w:rsid w:val="002D3F6E"/>
    <w:rsid w:val="002D47CB"/>
    <w:rsid w:val="002D5FD0"/>
    <w:rsid w:val="002D6084"/>
    <w:rsid w:val="002E4163"/>
    <w:rsid w:val="002F125A"/>
    <w:rsid w:val="002F4A61"/>
    <w:rsid w:val="002F6B9A"/>
    <w:rsid w:val="003000BA"/>
    <w:rsid w:val="0030060A"/>
    <w:rsid w:val="00304702"/>
    <w:rsid w:val="003049E9"/>
    <w:rsid w:val="00304E5B"/>
    <w:rsid w:val="00305812"/>
    <w:rsid w:val="00305DC4"/>
    <w:rsid w:val="00306852"/>
    <w:rsid w:val="00306D24"/>
    <w:rsid w:val="00307130"/>
    <w:rsid w:val="00311814"/>
    <w:rsid w:val="00314D5F"/>
    <w:rsid w:val="00316DDD"/>
    <w:rsid w:val="003205C9"/>
    <w:rsid w:val="00322407"/>
    <w:rsid w:val="00323DFD"/>
    <w:rsid w:val="00324654"/>
    <w:rsid w:val="00324704"/>
    <w:rsid w:val="00324A25"/>
    <w:rsid w:val="0032532C"/>
    <w:rsid w:val="00325356"/>
    <w:rsid w:val="00330248"/>
    <w:rsid w:val="003323FA"/>
    <w:rsid w:val="00332F85"/>
    <w:rsid w:val="00333332"/>
    <w:rsid w:val="00333C2D"/>
    <w:rsid w:val="00335A21"/>
    <w:rsid w:val="00335AFD"/>
    <w:rsid w:val="00336189"/>
    <w:rsid w:val="003400E7"/>
    <w:rsid w:val="003412E6"/>
    <w:rsid w:val="0034209F"/>
    <w:rsid w:val="00343203"/>
    <w:rsid w:val="003453C1"/>
    <w:rsid w:val="00346F79"/>
    <w:rsid w:val="00351161"/>
    <w:rsid w:val="00352BD6"/>
    <w:rsid w:val="003534CF"/>
    <w:rsid w:val="0035664B"/>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58A"/>
    <w:rsid w:val="003F09CE"/>
    <w:rsid w:val="003F132B"/>
    <w:rsid w:val="003F575F"/>
    <w:rsid w:val="003F6B20"/>
    <w:rsid w:val="00403EFB"/>
    <w:rsid w:val="00411D73"/>
    <w:rsid w:val="00412A1B"/>
    <w:rsid w:val="00412BE2"/>
    <w:rsid w:val="0041496D"/>
    <w:rsid w:val="00415855"/>
    <w:rsid w:val="0041623B"/>
    <w:rsid w:val="004169C9"/>
    <w:rsid w:val="00422AEC"/>
    <w:rsid w:val="00423D14"/>
    <w:rsid w:val="0043049F"/>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377C"/>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438A9"/>
    <w:rsid w:val="00551C18"/>
    <w:rsid w:val="005546A7"/>
    <w:rsid w:val="005547A1"/>
    <w:rsid w:val="00556693"/>
    <w:rsid w:val="00560018"/>
    <w:rsid w:val="0056608B"/>
    <w:rsid w:val="00566FB0"/>
    <w:rsid w:val="00567AA6"/>
    <w:rsid w:val="00570842"/>
    <w:rsid w:val="0057306F"/>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5060"/>
    <w:rsid w:val="005E7EA6"/>
    <w:rsid w:val="005F148C"/>
    <w:rsid w:val="005F2282"/>
    <w:rsid w:val="005F4C1C"/>
    <w:rsid w:val="005F510D"/>
    <w:rsid w:val="005F5FB8"/>
    <w:rsid w:val="005F6B86"/>
    <w:rsid w:val="00601CFF"/>
    <w:rsid w:val="00607CB4"/>
    <w:rsid w:val="00607E5D"/>
    <w:rsid w:val="006101DE"/>
    <w:rsid w:val="0061222B"/>
    <w:rsid w:val="0061232F"/>
    <w:rsid w:val="00623238"/>
    <w:rsid w:val="006329C6"/>
    <w:rsid w:val="00636D1C"/>
    <w:rsid w:val="00641DC7"/>
    <w:rsid w:val="006452D0"/>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6187"/>
    <w:rsid w:val="006D7FE3"/>
    <w:rsid w:val="006E0C9A"/>
    <w:rsid w:val="006E5EC6"/>
    <w:rsid w:val="006F0348"/>
    <w:rsid w:val="006F06C2"/>
    <w:rsid w:val="006F32EF"/>
    <w:rsid w:val="006F380B"/>
    <w:rsid w:val="006F479F"/>
    <w:rsid w:val="006F6995"/>
    <w:rsid w:val="0070107D"/>
    <w:rsid w:val="00701F5C"/>
    <w:rsid w:val="00702005"/>
    <w:rsid w:val="007021AD"/>
    <w:rsid w:val="007029A7"/>
    <w:rsid w:val="00703AE6"/>
    <w:rsid w:val="0071081F"/>
    <w:rsid w:val="00711584"/>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5905"/>
    <w:rsid w:val="00782006"/>
    <w:rsid w:val="007838AF"/>
    <w:rsid w:val="00785084"/>
    <w:rsid w:val="007877E2"/>
    <w:rsid w:val="00796E61"/>
    <w:rsid w:val="00797547"/>
    <w:rsid w:val="0079774B"/>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3B9D"/>
    <w:rsid w:val="007E6322"/>
    <w:rsid w:val="007E6C3C"/>
    <w:rsid w:val="007F0C7B"/>
    <w:rsid w:val="007F13E0"/>
    <w:rsid w:val="007F2899"/>
    <w:rsid w:val="007F42B2"/>
    <w:rsid w:val="007F4983"/>
    <w:rsid w:val="008001FE"/>
    <w:rsid w:val="00800338"/>
    <w:rsid w:val="00803226"/>
    <w:rsid w:val="00803948"/>
    <w:rsid w:val="00804A15"/>
    <w:rsid w:val="008141C6"/>
    <w:rsid w:val="00815732"/>
    <w:rsid w:val="00820790"/>
    <w:rsid w:val="00821697"/>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85D4A"/>
    <w:rsid w:val="0089110F"/>
    <w:rsid w:val="008928F0"/>
    <w:rsid w:val="00896340"/>
    <w:rsid w:val="008A1683"/>
    <w:rsid w:val="008A6C88"/>
    <w:rsid w:val="008B216B"/>
    <w:rsid w:val="008B2BDF"/>
    <w:rsid w:val="008B5438"/>
    <w:rsid w:val="008B62CD"/>
    <w:rsid w:val="008C0CB1"/>
    <w:rsid w:val="008C21AE"/>
    <w:rsid w:val="008C34FA"/>
    <w:rsid w:val="008C49C8"/>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17DDC"/>
    <w:rsid w:val="00922D7B"/>
    <w:rsid w:val="00922F21"/>
    <w:rsid w:val="00930111"/>
    <w:rsid w:val="009372F0"/>
    <w:rsid w:val="00937815"/>
    <w:rsid w:val="00942866"/>
    <w:rsid w:val="009440BE"/>
    <w:rsid w:val="00945A4F"/>
    <w:rsid w:val="00946DAA"/>
    <w:rsid w:val="00946DCE"/>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C6F03"/>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1948"/>
    <w:rsid w:val="00A129DC"/>
    <w:rsid w:val="00A15299"/>
    <w:rsid w:val="00A20B7A"/>
    <w:rsid w:val="00A23D0A"/>
    <w:rsid w:val="00A24047"/>
    <w:rsid w:val="00A354FC"/>
    <w:rsid w:val="00A36B8A"/>
    <w:rsid w:val="00A37B9B"/>
    <w:rsid w:val="00A40F2F"/>
    <w:rsid w:val="00A41E6F"/>
    <w:rsid w:val="00A4228B"/>
    <w:rsid w:val="00A42501"/>
    <w:rsid w:val="00A42842"/>
    <w:rsid w:val="00A501E3"/>
    <w:rsid w:val="00A52EF4"/>
    <w:rsid w:val="00A53BE1"/>
    <w:rsid w:val="00A55BF7"/>
    <w:rsid w:val="00A57F7C"/>
    <w:rsid w:val="00A6138F"/>
    <w:rsid w:val="00A61FAB"/>
    <w:rsid w:val="00A62BAC"/>
    <w:rsid w:val="00A6421B"/>
    <w:rsid w:val="00A657D4"/>
    <w:rsid w:val="00A65C04"/>
    <w:rsid w:val="00A7048C"/>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E3081"/>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67E7F"/>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698F"/>
    <w:rsid w:val="00BD1655"/>
    <w:rsid w:val="00BE248B"/>
    <w:rsid w:val="00BE2C28"/>
    <w:rsid w:val="00BE4247"/>
    <w:rsid w:val="00BE7A2C"/>
    <w:rsid w:val="00BF0A82"/>
    <w:rsid w:val="00BF0B3F"/>
    <w:rsid w:val="00BF496F"/>
    <w:rsid w:val="00BF5918"/>
    <w:rsid w:val="00BF6BCA"/>
    <w:rsid w:val="00BF6DF9"/>
    <w:rsid w:val="00BF742F"/>
    <w:rsid w:val="00BF786B"/>
    <w:rsid w:val="00C00FB5"/>
    <w:rsid w:val="00C054D0"/>
    <w:rsid w:val="00C05B2D"/>
    <w:rsid w:val="00C05DC2"/>
    <w:rsid w:val="00C07F2C"/>
    <w:rsid w:val="00C16815"/>
    <w:rsid w:val="00C17B3F"/>
    <w:rsid w:val="00C204D0"/>
    <w:rsid w:val="00C22194"/>
    <w:rsid w:val="00C247D1"/>
    <w:rsid w:val="00C267C6"/>
    <w:rsid w:val="00C31BB7"/>
    <w:rsid w:val="00C328B5"/>
    <w:rsid w:val="00C344F9"/>
    <w:rsid w:val="00C35100"/>
    <w:rsid w:val="00C35108"/>
    <w:rsid w:val="00C352B6"/>
    <w:rsid w:val="00C43B63"/>
    <w:rsid w:val="00C45151"/>
    <w:rsid w:val="00C460D0"/>
    <w:rsid w:val="00C507BA"/>
    <w:rsid w:val="00C52EC5"/>
    <w:rsid w:val="00C667F2"/>
    <w:rsid w:val="00C669DC"/>
    <w:rsid w:val="00C706F0"/>
    <w:rsid w:val="00C71B04"/>
    <w:rsid w:val="00C71E51"/>
    <w:rsid w:val="00C7265F"/>
    <w:rsid w:val="00C73302"/>
    <w:rsid w:val="00C75761"/>
    <w:rsid w:val="00C84B33"/>
    <w:rsid w:val="00C84B51"/>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0CBC"/>
    <w:rsid w:val="00CF1B04"/>
    <w:rsid w:val="00CF3422"/>
    <w:rsid w:val="00CF5211"/>
    <w:rsid w:val="00CF57AE"/>
    <w:rsid w:val="00CF7578"/>
    <w:rsid w:val="00D000F2"/>
    <w:rsid w:val="00D04B81"/>
    <w:rsid w:val="00D056A8"/>
    <w:rsid w:val="00D06975"/>
    <w:rsid w:val="00D129C3"/>
    <w:rsid w:val="00D130B7"/>
    <w:rsid w:val="00D13A92"/>
    <w:rsid w:val="00D13E93"/>
    <w:rsid w:val="00D16063"/>
    <w:rsid w:val="00D160C7"/>
    <w:rsid w:val="00D16FEC"/>
    <w:rsid w:val="00D17440"/>
    <w:rsid w:val="00D21405"/>
    <w:rsid w:val="00D225AA"/>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640D0"/>
    <w:rsid w:val="00D71C8E"/>
    <w:rsid w:val="00D72EC7"/>
    <w:rsid w:val="00D76D8B"/>
    <w:rsid w:val="00D8180E"/>
    <w:rsid w:val="00D8566E"/>
    <w:rsid w:val="00D8719F"/>
    <w:rsid w:val="00D91001"/>
    <w:rsid w:val="00D9290F"/>
    <w:rsid w:val="00D92E71"/>
    <w:rsid w:val="00D94A82"/>
    <w:rsid w:val="00D96C27"/>
    <w:rsid w:val="00D97BF7"/>
    <w:rsid w:val="00DA02C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1FAD"/>
    <w:rsid w:val="00E43BB2"/>
    <w:rsid w:val="00E529E3"/>
    <w:rsid w:val="00E555B6"/>
    <w:rsid w:val="00E56B8C"/>
    <w:rsid w:val="00E56E3E"/>
    <w:rsid w:val="00E600A5"/>
    <w:rsid w:val="00E60B84"/>
    <w:rsid w:val="00E615FD"/>
    <w:rsid w:val="00E61709"/>
    <w:rsid w:val="00E6224B"/>
    <w:rsid w:val="00E636FA"/>
    <w:rsid w:val="00E65476"/>
    <w:rsid w:val="00E67FD4"/>
    <w:rsid w:val="00E71629"/>
    <w:rsid w:val="00E73129"/>
    <w:rsid w:val="00E7576C"/>
    <w:rsid w:val="00E81E6D"/>
    <w:rsid w:val="00E848A4"/>
    <w:rsid w:val="00E8753F"/>
    <w:rsid w:val="00EA1E58"/>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5F18"/>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6B7A"/>
    <w:rsid w:val="00F370BC"/>
    <w:rsid w:val="00F372E1"/>
    <w:rsid w:val="00F427B1"/>
    <w:rsid w:val="00F4356F"/>
    <w:rsid w:val="00F43FD6"/>
    <w:rsid w:val="00F4547C"/>
    <w:rsid w:val="00F50F98"/>
    <w:rsid w:val="00F52354"/>
    <w:rsid w:val="00F5350E"/>
    <w:rsid w:val="00F54A18"/>
    <w:rsid w:val="00F56EC7"/>
    <w:rsid w:val="00F57DF5"/>
    <w:rsid w:val="00F63669"/>
    <w:rsid w:val="00F7073F"/>
    <w:rsid w:val="00F70BD6"/>
    <w:rsid w:val="00F70CF2"/>
    <w:rsid w:val="00F70DFB"/>
    <w:rsid w:val="00F72E74"/>
    <w:rsid w:val="00F73FBE"/>
    <w:rsid w:val="00F74706"/>
    <w:rsid w:val="00F75779"/>
    <w:rsid w:val="00F760CA"/>
    <w:rsid w:val="00F82A70"/>
    <w:rsid w:val="00F82AC6"/>
    <w:rsid w:val="00F8597B"/>
    <w:rsid w:val="00F87BDC"/>
    <w:rsid w:val="00F93990"/>
    <w:rsid w:val="00F939A2"/>
    <w:rsid w:val="00F93FE5"/>
    <w:rsid w:val="00FA05F9"/>
    <w:rsid w:val="00FA37A6"/>
    <w:rsid w:val="00FA4001"/>
    <w:rsid w:val="00FA56C9"/>
    <w:rsid w:val="00FA5A07"/>
    <w:rsid w:val="00FA5C89"/>
    <w:rsid w:val="00FB1201"/>
    <w:rsid w:val="00FB6487"/>
    <w:rsid w:val="00FB6B87"/>
    <w:rsid w:val="00FB7842"/>
    <w:rsid w:val="00FC1EB4"/>
    <w:rsid w:val="00FC3366"/>
    <w:rsid w:val="00FC7146"/>
    <w:rsid w:val="00FD3FC8"/>
    <w:rsid w:val="00FD417C"/>
    <w:rsid w:val="00FD5A33"/>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A7048C"/>
    <w:rPr>
      <w:sz w:val="16"/>
      <w:szCs w:val="16"/>
    </w:rPr>
  </w:style>
  <w:style w:type="paragraph" w:styleId="CommentText">
    <w:name w:val="annotation text"/>
    <w:basedOn w:val="Normal"/>
    <w:link w:val="CommentTextChar"/>
    <w:uiPriority w:val="99"/>
    <w:unhideWhenUsed/>
    <w:rsid w:val="00A7048C"/>
    <w:pPr>
      <w:spacing w:line="240" w:lineRule="auto"/>
    </w:pPr>
    <w:rPr>
      <w:sz w:val="20"/>
      <w:szCs w:val="20"/>
    </w:rPr>
  </w:style>
  <w:style w:type="character" w:customStyle="1" w:styleId="CommentTextChar">
    <w:name w:val="Comment Text Char"/>
    <w:basedOn w:val="DefaultParagraphFont"/>
    <w:link w:val="CommentText"/>
    <w:uiPriority w:val="99"/>
    <w:rsid w:val="00A7048C"/>
    <w:rPr>
      <w:sz w:val="20"/>
      <w:szCs w:val="20"/>
    </w:rPr>
  </w:style>
  <w:style w:type="paragraph" w:styleId="CommentSubject">
    <w:name w:val="annotation subject"/>
    <w:basedOn w:val="CommentText"/>
    <w:next w:val="CommentText"/>
    <w:link w:val="CommentSubjectChar"/>
    <w:uiPriority w:val="99"/>
    <w:semiHidden/>
    <w:unhideWhenUsed/>
    <w:rsid w:val="00A7048C"/>
    <w:rPr>
      <w:b/>
      <w:bCs/>
    </w:rPr>
  </w:style>
  <w:style w:type="character" w:customStyle="1" w:styleId="CommentSubjectChar">
    <w:name w:val="Comment Subject Char"/>
    <w:basedOn w:val="CommentTextChar"/>
    <w:link w:val="CommentSubject"/>
    <w:uiPriority w:val="99"/>
    <w:semiHidden/>
    <w:rsid w:val="00A704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5564</Words>
  <Characters>29158</Characters>
  <Application>Microsoft Office Word</Application>
  <DocSecurity>0</DocSecurity>
  <Lines>539</Lines>
  <Paragraphs>265</Paragraphs>
  <ScaleCrop>false</ScaleCrop>
  <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Repton Parish Clerk</cp:lastModifiedBy>
  <cp:revision>2</cp:revision>
  <cp:lastPrinted>2024-04-25T09:10:00Z</cp:lastPrinted>
  <dcterms:created xsi:type="dcterms:W3CDTF">2026-02-17T10:36:00Z</dcterms:created>
  <dcterms:modified xsi:type="dcterms:W3CDTF">2026-02-17T10:36:00Z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